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5DF71" w14:textId="53855623" w:rsidR="00EA36DB" w:rsidRDefault="00A52233" w:rsidP="00EA3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Лизинговый продукт для субъектов малого и среднего предпринимательства </w:t>
      </w:r>
      <w:r w:rsidR="00EA36DB" w:rsidRPr="00233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«Стабилизационный»</w:t>
      </w:r>
      <w:r w:rsidR="00EA36DB" w:rsidRPr="00AD1E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FDD86F6" w14:textId="77777777" w:rsidR="00A52233" w:rsidRDefault="00A52233" w:rsidP="00EA36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2212"/>
        <w:gridCol w:w="2224"/>
        <w:gridCol w:w="2173"/>
        <w:gridCol w:w="5345"/>
      </w:tblGrid>
      <w:tr w:rsidR="000A116A" w:rsidRPr="00C56CE9" w14:paraId="05468F50" w14:textId="77777777" w:rsidTr="00765B80">
        <w:trPr>
          <w:trHeight w:val="562"/>
          <w:jc w:val="center"/>
        </w:trPr>
        <w:tc>
          <w:tcPr>
            <w:tcW w:w="2642" w:type="dxa"/>
            <w:vMerge w:val="restart"/>
            <w:shd w:val="clear" w:color="auto" w:fill="auto"/>
            <w:vAlign w:val="center"/>
          </w:tcPr>
          <w:p w14:paraId="4789B342" w14:textId="77777777" w:rsidR="000A116A" w:rsidRPr="00C56CE9" w:rsidRDefault="000A116A" w:rsidP="009F77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6C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Условия</w:t>
            </w:r>
          </w:p>
        </w:tc>
        <w:tc>
          <w:tcPr>
            <w:tcW w:w="11954" w:type="dxa"/>
            <w:gridSpan w:val="4"/>
            <w:shd w:val="clear" w:color="auto" w:fill="auto"/>
            <w:vAlign w:val="center"/>
          </w:tcPr>
          <w:p w14:paraId="35E09F28" w14:textId="06F165DA" w:rsidR="000A116A" w:rsidRPr="00C56CE9" w:rsidRDefault="000A116A" w:rsidP="009F77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Субъекты МСП-Лизингополучатели</w:t>
            </w:r>
          </w:p>
        </w:tc>
      </w:tr>
      <w:tr w:rsidR="000A116A" w:rsidRPr="00C56CE9" w14:paraId="4DB25DAB" w14:textId="77777777" w:rsidTr="00765B80">
        <w:trPr>
          <w:trHeight w:val="562"/>
          <w:jc w:val="center"/>
        </w:trPr>
        <w:tc>
          <w:tcPr>
            <w:tcW w:w="2642" w:type="dxa"/>
            <w:vMerge/>
            <w:shd w:val="clear" w:color="auto" w:fill="auto"/>
            <w:vAlign w:val="center"/>
          </w:tcPr>
          <w:p w14:paraId="68142ABA" w14:textId="77777777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shd w:val="clear" w:color="auto" w:fill="auto"/>
          </w:tcPr>
          <w:p w14:paraId="572EEF1D" w14:textId="0956CDCD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2224" w:type="dxa"/>
            <w:shd w:val="clear" w:color="auto" w:fill="auto"/>
            <w:vAlign w:val="center"/>
          </w:tcPr>
          <w:p w14:paraId="3E9803BA" w14:textId="6221EA1E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микроорганизации</w:t>
            </w:r>
            <w:proofErr w:type="spellEnd"/>
          </w:p>
        </w:tc>
        <w:tc>
          <w:tcPr>
            <w:tcW w:w="2173" w:type="dxa"/>
            <w:shd w:val="clear" w:color="auto" w:fill="auto"/>
            <w:vAlign w:val="center"/>
          </w:tcPr>
          <w:p w14:paraId="68D3C864" w14:textId="4A1F6707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малые организации</w:t>
            </w:r>
          </w:p>
        </w:tc>
        <w:tc>
          <w:tcPr>
            <w:tcW w:w="5345" w:type="dxa"/>
            <w:shd w:val="clear" w:color="auto" w:fill="auto"/>
            <w:vAlign w:val="center"/>
          </w:tcPr>
          <w:p w14:paraId="776DE335" w14:textId="31C04120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субъекты среднего предпринимательства</w:t>
            </w:r>
          </w:p>
        </w:tc>
      </w:tr>
      <w:tr w:rsidR="000A116A" w:rsidRPr="00C56CE9" w14:paraId="0192553C" w14:textId="77777777" w:rsidTr="00765B80">
        <w:trPr>
          <w:trHeight w:val="562"/>
          <w:jc w:val="center"/>
        </w:trPr>
        <w:tc>
          <w:tcPr>
            <w:tcW w:w="2642" w:type="dxa"/>
            <w:vMerge/>
            <w:shd w:val="clear" w:color="auto" w:fill="auto"/>
            <w:vAlign w:val="center"/>
          </w:tcPr>
          <w:p w14:paraId="60F5D448" w14:textId="77777777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14:paraId="79DFB672" w14:textId="77777777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dxa"/>
            <w:shd w:val="clear" w:color="auto" w:fill="auto"/>
            <w:vAlign w:val="center"/>
          </w:tcPr>
          <w:p w14:paraId="1667399D" w14:textId="378F2A57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до 15 человек включительно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119FBCD" w14:textId="0A580A8D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от 16 до 100 человек включительно</w:t>
            </w:r>
          </w:p>
        </w:tc>
        <w:tc>
          <w:tcPr>
            <w:tcW w:w="5345" w:type="dxa"/>
            <w:shd w:val="clear" w:color="auto" w:fill="auto"/>
            <w:vAlign w:val="center"/>
          </w:tcPr>
          <w:p w14:paraId="44A17856" w14:textId="6E996683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от 101 до 250 человек включительно</w:t>
            </w:r>
          </w:p>
        </w:tc>
      </w:tr>
      <w:tr w:rsidR="000A116A" w:rsidRPr="00C56CE9" w14:paraId="50341910" w14:textId="77777777" w:rsidTr="00765B80">
        <w:trPr>
          <w:trHeight w:val="562"/>
          <w:jc w:val="center"/>
        </w:trPr>
        <w:tc>
          <w:tcPr>
            <w:tcW w:w="2642" w:type="dxa"/>
            <w:vMerge/>
            <w:shd w:val="clear" w:color="auto" w:fill="auto"/>
            <w:vAlign w:val="center"/>
          </w:tcPr>
          <w:p w14:paraId="20B53786" w14:textId="77777777" w:rsidR="000A116A" w:rsidRPr="00C56CE9" w:rsidRDefault="000A116A" w:rsidP="00AF0F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4" w:type="dxa"/>
            <w:gridSpan w:val="4"/>
            <w:shd w:val="clear" w:color="auto" w:fill="auto"/>
            <w:vAlign w:val="center"/>
          </w:tcPr>
          <w:p w14:paraId="6C533C10" w14:textId="329AE11D" w:rsidR="000A116A" w:rsidRPr="00EA06D8" w:rsidRDefault="000A116A" w:rsidP="000A1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выручки от реализации продукции, товаров, работ, услуг (без учета НДС) за предыдущий календарный год для индивидуальных предпринимателей,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микроорганизаций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малых организаций, субъектов среднего предпринимательства не должен превышать 35 000 000,00 (Тридцать пять миллионов белорусских рублей 00 копеек).</w:t>
            </w:r>
          </w:p>
        </w:tc>
      </w:tr>
      <w:tr w:rsidR="00A909A7" w:rsidRPr="00C56CE9" w14:paraId="3148E472" w14:textId="77777777" w:rsidTr="00765B80">
        <w:trPr>
          <w:jc w:val="center"/>
        </w:trPr>
        <w:tc>
          <w:tcPr>
            <w:tcW w:w="2642" w:type="dxa"/>
            <w:shd w:val="clear" w:color="auto" w:fill="auto"/>
            <w:vAlign w:val="center"/>
          </w:tcPr>
          <w:p w14:paraId="4D35EBA0" w14:textId="7D85955F" w:rsidR="00A909A7" w:rsidRPr="003E0FB7" w:rsidRDefault="00A909A7" w:rsidP="00E103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отбора лизингополучателя</w:t>
            </w:r>
          </w:p>
        </w:tc>
        <w:tc>
          <w:tcPr>
            <w:tcW w:w="11954" w:type="dxa"/>
            <w:gridSpan w:val="4"/>
            <w:shd w:val="clear" w:color="auto" w:fill="auto"/>
            <w:vAlign w:val="center"/>
          </w:tcPr>
          <w:p w14:paraId="08C065A9" w14:textId="77777777" w:rsidR="00A909A7" w:rsidRPr="00B635B4" w:rsidRDefault="00A909A7" w:rsidP="00A90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является индивидуальным предпринимателем или коммерческой организацией – резидентом Республики Беларусь, осуществляет деятельность на территории Республики Беларусь;</w:t>
            </w:r>
          </w:p>
          <w:p w14:paraId="5808B984" w14:textId="77777777" w:rsidR="00A909A7" w:rsidRPr="00B635B4" w:rsidRDefault="00A909A7" w:rsidP="00A90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суммарная доля собственности нерезидентов Республики Беларусь не более чем 49 (сорок девять) процентов уставного фонда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Лизингополучателя</w:t>
            </w: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1C1F4D6" w14:textId="77777777" w:rsidR="00A909A7" w:rsidRPr="00B635B4" w:rsidRDefault="00A909A7" w:rsidP="00A90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не имеет просроченной задолженности по актив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ам, подверженным кредитному риску перед</w:t>
            </w: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банками, в том числе перед Банком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азвития, дочерними организациями Банка развития;</w:t>
            </w:r>
          </w:p>
          <w:p w14:paraId="68DAA78E" w14:textId="77777777" w:rsidR="00A909A7" w:rsidRPr="00B635B4" w:rsidRDefault="00A909A7" w:rsidP="00A90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является независимым. Субъект МСП не признается независимым, если 25 (двадцать пять) процентов и более акций (долей его уставного фонда) принадлежит лицу, которое не удовлетворяет критериям классификации Субъектов МСП (за исключением: лиц, являющихся Республикой Беларусь, административно-территориальными единицами Республики Беларусь; юридических лиц, имущество которых принадлежит Республике Беларусь или ее административно-территориальным единицам; а также юридических лиц, сто процентов акций (долей уставного фонда) которых принадлежит Республике Беларусь и (или) ее административно-территориальным единицам или юридическим лицам, имущество которых принадлежит Республики Беларусь или ее административно-территориальным единицам);</w:t>
            </w:r>
          </w:p>
          <w:p w14:paraId="275AEF6B" w14:textId="77777777" w:rsidR="00A909A7" w:rsidRDefault="00A909A7" w:rsidP="00A90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не находится в процессе реорганизации, ликвидации (прекращения деятельности), экономической несостоятельности (банкротства)</w:t>
            </w:r>
          </w:p>
          <w:p w14:paraId="289D300B" w14:textId="669FA6DF" w:rsidR="00A909A7" w:rsidRPr="0058091E" w:rsidRDefault="00A909A7" w:rsidP="00A909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не является Субъектом МСП, финансирование которого запрещено в соответствии со специальными экономическими мерами (за исключением сделок в белорусских рублях).</w:t>
            </w:r>
          </w:p>
        </w:tc>
      </w:tr>
      <w:tr w:rsidR="00AF0FFA" w:rsidRPr="00C56CE9" w14:paraId="11370101" w14:textId="77777777" w:rsidTr="00765B80">
        <w:trPr>
          <w:jc w:val="center"/>
        </w:trPr>
        <w:tc>
          <w:tcPr>
            <w:tcW w:w="2642" w:type="dxa"/>
            <w:shd w:val="clear" w:color="auto" w:fill="auto"/>
          </w:tcPr>
          <w:p w14:paraId="05251DB9" w14:textId="77777777" w:rsidR="00AF0FFA" w:rsidRPr="003E0FB7" w:rsidRDefault="00AF0FFA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0FB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Целевое использование средств</w:t>
            </w:r>
          </w:p>
        </w:tc>
        <w:tc>
          <w:tcPr>
            <w:tcW w:w="11954" w:type="dxa"/>
            <w:gridSpan w:val="4"/>
            <w:shd w:val="clear" w:color="auto" w:fill="auto"/>
          </w:tcPr>
          <w:p w14:paraId="0E3137D1" w14:textId="40651C00" w:rsidR="00AF0FFA" w:rsidRPr="0058091E" w:rsidRDefault="00AF0FFA" w:rsidP="00AF0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91E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Финансирование затрат Лизинговых организаций, связанных с приобретением имущества</w:t>
            </w:r>
            <w:r w:rsidRPr="0058091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5809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целью последующей передачи в </w:t>
            </w:r>
            <w:r w:rsidRPr="00D4007D">
              <w:rPr>
                <w:rFonts w:ascii="Times New Roman" w:eastAsia="Calibri" w:hAnsi="Times New Roman" w:cs="Times New Roman"/>
                <w:sz w:val="24"/>
                <w:szCs w:val="24"/>
              </w:rPr>
              <w:t>лизинг субъектам МСП – лизингополучателям для их производственной деятельности или деятельности по оказанию услуг</w:t>
            </w:r>
            <w:r w:rsidRPr="00D40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F0FFA" w:rsidRPr="00C56CE9" w14:paraId="6CCBCEBD" w14:textId="77777777" w:rsidTr="00765B80">
        <w:trPr>
          <w:jc w:val="center"/>
        </w:trPr>
        <w:tc>
          <w:tcPr>
            <w:tcW w:w="2642" w:type="dxa"/>
            <w:shd w:val="clear" w:color="auto" w:fill="auto"/>
          </w:tcPr>
          <w:p w14:paraId="062E400F" w14:textId="77777777" w:rsidR="00AF0FFA" w:rsidRPr="00C56CE9" w:rsidRDefault="00AF0FFA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6C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Целевой сегмент субъектов МСП</w:t>
            </w:r>
          </w:p>
        </w:tc>
        <w:tc>
          <w:tcPr>
            <w:tcW w:w="11954" w:type="dxa"/>
            <w:gridSpan w:val="4"/>
            <w:shd w:val="clear" w:color="auto" w:fill="auto"/>
          </w:tcPr>
          <w:p w14:paraId="67D8373B" w14:textId="50006C3A" w:rsidR="00AF0FFA" w:rsidRPr="00C56CE9" w:rsidRDefault="00AF0FFA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6C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Субъекты МСП: 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 экономической деятельности для реализации </w:t>
            </w:r>
            <w:proofErr w:type="spellStart"/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Субпроекта</w:t>
            </w:r>
            <w:proofErr w:type="spellEnd"/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относится к секциям А – B; секции С (за исключением подклассов 11010, 11040, 25400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</w:rPr>
              <w:t>, 30400, раздела 12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согласно ОКЭД.</w:t>
            </w:r>
            <w:r w:rsidRPr="00C56C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65B80" w:rsidRPr="00C56CE9" w14:paraId="65D304F0" w14:textId="77777777" w:rsidTr="00765B80">
        <w:trPr>
          <w:jc w:val="center"/>
        </w:trPr>
        <w:tc>
          <w:tcPr>
            <w:tcW w:w="2642" w:type="dxa"/>
            <w:shd w:val="clear" w:color="auto" w:fill="auto"/>
          </w:tcPr>
          <w:p w14:paraId="4B6965A4" w14:textId="575B6EE0" w:rsidR="00765B80" w:rsidRPr="00C56CE9" w:rsidRDefault="00765B80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 лизинга</w:t>
            </w:r>
          </w:p>
        </w:tc>
        <w:tc>
          <w:tcPr>
            <w:tcW w:w="11954" w:type="dxa"/>
            <w:gridSpan w:val="4"/>
            <w:shd w:val="clear" w:color="auto" w:fill="auto"/>
          </w:tcPr>
          <w:p w14:paraId="256D1BDF" w14:textId="4CA324DB" w:rsidR="00765B80" w:rsidRPr="00C56CE9" w:rsidRDefault="00765B80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средства стоимостью от 1000 базовых величин (исключение транспортные средства).</w:t>
            </w:r>
          </w:p>
        </w:tc>
      </w:tr>
      <w:tr w:rsidR="00AF0FFA" w:rsidRPr="00C56CE9" w14:paraId="245AB32E" w14:textId="77777777" w:rsidTr="00765B80">
        <w:trPr>
          <w:jc w:val="center"/>
        </w:trPr>
        <w:tc>
          <w:tcPr>
            <w:tcW w:w="2642" w:type="dxa"/>
            <w:shd w:val="clear" w:color="auto" w:fill="auto"/>
          </w:tcPr>
          <w:p w14:paraId="61C70F9C" w14:textId="77777777" w:rsidR="00AF0FFA" w:rsidRPr="00C56CE9" w:rsidRDefault="00AF0FFA" w:rsidP="00AF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процентной ставки, % годовых</w:t>
            </w:r>
          </w:p>
        </w:tc>
        <w:tc>
          <w:tcPr>
            <w:tcW w:w="11954" w:type="dxa"/>
            <w:gridSpan w:val="4"/>
            <w:shd w:val="clear" w:color="auto" w:fill="auto"/>
          </w:tcPr>
          <w:p w14:paraId="1CE788EC" w14:textId="77777777" w:rsidR="00AF0FFA" w:rsidRDefault="00AF0FFA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C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Определяется условиями договора финансовой аренды (лизинга). </w:t>
            </w:r>
          </w:p>
          <w:p w14:paraId="663BEF5D" w14:textId="5E09572E" w:rsidR="00AF0FFA" w:rsidRPr="00C56CE9" w:rsidRDefault="00AF0FFA" w:rsidP="00AF0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маржа Лизинговой организации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  <w:r w:rsidRPr="003F5C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два с половиной</w:t>
            </w:r>
            <w:r w:rsidRPr="007B22F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3F5C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процентных пункт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F5C4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F0FFA" w:rsidRPr="00022837" w14:paraId="726FC776" w14:textId="77777777" w:rsidTr="00765B80">
        <w:trPr>
          <w:jc w:val="center"/>
        </w:trPr>
        <w:tc>
          <w:tcPr>
            <w:tcW w:w="2642" w:type="dxa"/>
            <w:shd w:val="clear" w:color="auto" w:fill="auto"/>
          </w:tcPr>
          <w:p w14:paraId="4698B0DF" w14:textId="2050D6A0" w:rsidR="00AF0FFA" w:rsidRPr="00917FBA" w:rsidRDefault="00AF0FFA" w:rsidP="00AF0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Срок финансирования</w:t>
            </w:r>
          </w:p>
        </w:tc>
        <w:tc>
          <w:tcPr>
            <w:tcW w:w="11954" w:type="dxa"/>
            <w:gridSpan w:val="4"/>
            <w:shd w:val="clear" w:color="auto" w:fill="auto"/>
          </w:tcPr>
          <w:p w14:paraId="4EE997C2" w14:textId="4A39B172" w:rsidR="00AF0FFA" w:rsidRPr="00917FBA" w:rsidRDefault="00AF0FFA" w:rsidP="00AF0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96A1C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</w:tr>
      <w:tr w:rsidR="00AF0FFA" w:rsidRPr="00022837" w14:paraId="72429960" w14:textId="77777777" w:rsidTr="00765B80">
        <w:trPr>
          <w:jc w:val="center"/>
        </w:trPr>
        <w:tc>
          <w:tcPr>
            <w:tcW w:w="2642" w:type="dxa"/>
            <w:shd w:val="clear" w:color="auto" w:fill="auto"/>
          </w:tcPr>
          <w:p w14:paraId="5DF9EEFF" w14:textId="6A2B5725" w:rsidR="00AF0FFA" w:rsidRPr="008D5F0F" w:rsidRDefault="00AF0FFA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 финансирования</w:t>
            </w:r>
          </w:p>
        </w:tc>
        <w:tc>
          <w:tcPr>
            <w:tcW w:w="11954" w:type="dxa"/>
            <w:gridSpan w:val="4"/>
            <w:shd w:val="clear" w:color="auto" w:fill="auto"/>
          </w:tcPr>
          <w:p w14:paraId="58528EF1" w14:textId="0002F250" w:rsidR="00AF0FFA" w:rsidRPr="00B96A1C" w:rsidRDefault="00AF0FFA" w:rsidP="00AF0F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Белорусские рубли</w:t>
            </w:r>
          </w:p>
        </w:tc>
      </w:tr>
      <w:tr w:rsidR="00AF0FFA" w:rsidRPr="00022837" w14:paraId="74F4AC1C" w14:textId="77777777" w:rsidTr="00765B80">
        <w:trPr>
          <w:jc w:val="center"/>
        </w:trPr>
        <w:tc>
          <w:tcPr>
            <w:tcW w:w="2642" w:type="dxa"/>
            <w:shd w:val="clear" w:color="auto" w:fill="auto"/>
          </w:tcPr>
          <w:p w14:paraId="3EA94D91" w14:textId="77777777" w:rsidR="00AF0FFA" w:rsidRPr="00C56CE9" w:rsidRDefault="00AF0FFA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C56C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финансирования Субъекта МСП</w:t>
            </w:r>
          </w:p>
        </w:tc>
        <w:tc>
          <w:tcPr>
            <w:tcW w:w="11954" w:type="dxa"/>
            <w:gridSpan w:val="4"/>
            <w:shd w:val="clear" w:color="auto" w:fill="auto"/>
          </w:tcPr>
          <w:p w14:paraId="39EDDAEE" w14:textId="77777777" w:rsidR="00AF0FFA" w:rsidRPr="00C56CE9" w:rsidRDefault="00AF0FFA" w:rsidP="00E103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09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более 7,0 млн. белорусских рублей</w:t>
            </w:r>
          </w:p>
        </w:tc>
      </w:tr>
      <w:tr w:rsidR="00A831C0" w:rsidRPr="00022837" w14:paraId="16048605" w14:textId="77777777" w:rsidTr="00765B80">
        <w:trPr>
          <w:jc w:val="center"/>
        </w:trPr>
        <w:tc>
          <w:tcPr>
            <w:tcW w:w="2642" w:type="dxa"/>
            <w:shd w:val="clear" w:color="auto" w:fill="auto"/>
          </w:tcPr>
          <w:p w14:paraId="579D00B4" w14:textId="154070DB" w:rsidR="00A831C0" w:rsidRPr="00C56CE9" w:rsidRDefault="00A831C0" w:rsidP="00A831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Авансовый платеж</w:t>
            </w:r>
          </w:p>
        </w:tc>
        <w:tc>
          <w:tcPr>
            <w:tcW w:w="11954" w:type="dxa"/>
            <w:gridSpan w:val="4"/>
            <w:shd w:val="clear" w:color="auto" w:fill="auto"/>
            <w:vAlign w:val="center"/>
          </w:tcPr>
          <w:p w14:paraId="3D30D913" w14:textId="64363854" w:rsidR="00A831C0" w:rsidRPr="0058091E" w:rsidRDefault="00A831C0" w:rsidP="00A831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От 20% до 40% стоимости предмета лизинга с учетом НДС.</w:t>
            </w:r>
          </w:p>
        </w:tc>
      </w:tr>
      <w:tr w:rsidR="00A831C0" w:rsidRPr="00022837" w14:paraId="7670E910" w14:textId="77777777" w:rsidTr="00765B80">
        <w:trPr>
          <w:jc w:val="center"/>
        </w:trPr>
        <w:tc>
          <w:tcPr>
            <w:tcW w:w="2642" w:type="dxa"/>
            <w:shd w:val="clear" w:color="auto" w:fill="auto"/>
          </w:tcPr>
          <w:p w14:paraId="31FBCF18" w14:textId="0F1BE641" w:rsidR="00A831C0" w:rsidRPr="00C56CE9" w:rsidRDefault="00A831C0" w:rsidP="00A831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</w:t>
            </w:r>
          </w:p>
        </w:tc>
        <w:tc>
          <w:tcPr>
            <w:tcW w:w="11954" w:type="dxa"/>
            <w:gridSpan w:val="4"/>
            <w:shd w:val="clear" w:color="auto" w:fill="auto"/>
            <w:vAlign w:val="center"/>
          </w:tcPr>
          <w:p w14:paraId="24449766" w14:textId="3C5D0921" w:rsidR="00A831C0" w:rsidRPr="0058091E" w:rsidRDefault="00A831C0" w:rsidP="00A831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Возможно, при необходимости: залог ликвидного имущества (не менее 30% стоимости предмета лизинга с учетом НДС), задаток, поручительство, другое высоколиквидное обеспечение.</w:t>
            </w:r>
          </w:p>
        </w:tc>
      </w:tr>
      <w:tr w:rsidR="00A831C0" w:rsidRPr="00022837" w14:paraId="39A15817" w14:textId="77777777" w:rsidTr="00765B80">
        <w:trPr>
          <w:jc w:val="center"/>
        </w:trPr>
        <w:tc>
          <w:tcPr>
            <w:tcW w:w="2642" w:type="dxa"/>
            <w:shd w:val="clear" w:color="auto" w:fill="auto"/>
            <w:vAlign w:val="center"/>
          </w:tcPr>
          <w:p w14:paraId="567F89CD" w14:textId="583415B2" w:rsidR="00A831C0" w:rsidRPr="00C56CE9" w:rsidRDefault="00A831C0" w:rsidP="00A831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Возмещение стоимости предмета лизинга</w:t>
            </w:r>
          </w:p>
        </w:tc>
        <w:tc>
          <w:tcPr>
            <w:tcW w:w="11954" w:type="dxa"/>
            <w:gridSpan w:val="4"/>
            <w:shd w:val="clear" w:color="auto" w:fill="auto"/>
            <w:vAlign w:val="center"/>
          </w:tcPr>
          <w:p w14:paraId="75D64EFE" w14:textId="61313E48" w:rsidR="00A831C0" w:rsidRPr="0058091E" w:rsidRDefault="00A831C0" w:rsidP="00A831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Ежемесячно равными долями. Базой для расчета лизингового платежа является непогашенная сумма контрактной стоимости предмета лизинга с учетом НДС.</w:t>
            </w:r>
          </w:p>
        </w:tc>
      </w:tr>
      <w:tr w:rsidR="00A831C0" w:rsidRPr="00022837" w14:paraId="555A8EEF" w14:textId="77777777" w:rsidTr="00765B80">
        <w:trPr>
          <w:jc w:val="center"/>
        </w:trPr>
        <w:tc>
          <w:tcPr>
            <w:tcW w:w="2642" w:type="dxa"/>
            <w:shd w:val="clear" w:color="auto" w:fill="auto"/>
            <w:vAlign w:val="center"/>
          </w:tcPr>
          <w:p w14:paraId="0257A61B" w14:textId="392F2A39" w:rsidR="00A831C0" w:rsidRPr="00C56CE9" w:rsidRDefault="00A831C0" w:rsidP="00A831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Выкупная стоимость</w:t>
            </w:r>
          </w:p>
        </w:tc>
        <w:tc>
          <w:tcPr>
            <w:tcW w:w="11954" w:type="dxa"/>
            <w:gridSpan w:val="4"/>
            <w:shd w:val="clear" w:color="auto" w:fill="auto"/>
            <w:vAlign w:val="center"/>
          </w:tcPr>
          <w:p w14:paraId="778C1DA7" w14:textId="61738CEB" w:rsidR="00A831C0" w:rsidRPr="0058091E" w:rsidRDefault="00A831C0" w:rsidP="00A831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1% стоимости предмета лизинга с учетом НДС.</w:t>
            </w:r>
          </w:p>
        </w:tc>
      </w:tr>
      <w:tr w:rsidR="00A909A7" w:rsidRPr="00022837" w14:paraId="50F78505" w14:textId="77777777" w:rsidTr="00765B80">
        <w:trPr>
          <w:trHeight w:val="681"/>
          <w:jc w:val="center"/>
        </w:trPr>
        <w:tc>
          <w:tcPr>
            <w:tcW w:w="2642" w:type="dxa"/>
            <w:vMerge w:val="restart"/>
            <w:shd w:val="clear" w:color="auto" w:fill="auto"/>
          </w:tcPr>
          <w:p w14:paraId="3D522773" w14:textId="32910870" w:rsidR="00A909A7" w:rsidRPr="00FB17EF" w:rsidRDefault="00A909A7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1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</w:t>
            </w:r>
            <w:r w:rsidRPr="00FB1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услови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954" w:type="dxa"/>
            <w:gridSpan w:val="4"/>
            <w:shd w:val="clear" w:color="auto" w:fill="auto"/>
          </w:tcPr>
          <w:p w14:paraId="03245725" w14:textId="4CAD6B52" w:rsidR="00A909A7" w:rsidRDefault="00A909A7" w:rsidP="00AF0FF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1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Финансирование предоставляется Субъектам МСП, относящимся к «</w:t>
            </w:r>
            <w:proofErr w:type="spellStart"/>
            <w:r w:rsidRPr="00FB1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экспорториентированным</w:t>
            </w:r>
            <w:proofErr w:type="spellEnd"/>
            <w:r w:rsidRPr="00FB1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и/или «импортозамещающим» (в соответствии со следующими условиями)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3FB1031" w14:textId="7FC64CB4" w:rsidR="00A909A7" w:rsidRPr="00E734E9" w:rsidRDefault="00A909A7" w:rsidP="00AF0FF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734E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Экспортоориентированный.</w:t>
            </w:r>
          </w:p>
          <w:p w14:paraId="242FE35C" w14:textId="77777777" w:rsidR="00A909A7" w:rsidRPr="00103C07" w:rsidRDefault="00A909A7" w:rsidP="00AF0FF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наличие у Субъекта МСП действующего экспортного контракта;</w:t>
            </w:r>
          </w:p>
          <w:p w14:paraId="5C320DC0" w14:textId="77777777" w:rsidR="00A909A7" w:rsidRPr="00103C07" w:rsidRDefault="00A909A7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объем экспортной выручки в иностранной валюте от реализации </w:t>
            </w:r>
            <w:r w:rsidRPr="00EB24F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продукции, товаров, работ, услуг (без учета НДС) за 3 или 12 месяцев (по выбору субъекта МСП), предшествующих месяцу обращения</w:t>
            </w:r>
            <w:r w:rsidRPr="003E60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финансированием, составляет не менее 30% 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общего объема выручки без учета НДС;</w:t>
            </w:r>
          </w:p>
          <w:p w14:paraId="07465A9E" w14:textId="77777777" w:rsidR="00A909A7" w:rsidRPr="00103C07" w:rsidRDefault="00A909A7" w:rsidP="00AF0FF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на период финансирования Субъект МСП гарантирует поступление экспортной выручки в иностранной валюте в следующих объемах:</w:t>
            </w:r>
          </w:p>
          <w:p w14:paraId="310F0709" w14:textId="77777777" w:rsidR="00A909A7" w:rsidRPr="00103C07" w:rsidRDefault="00A909A7" w:rsidP="00AF0FF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  <w:r w:rsidRPr="009C05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по итогам года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05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финансировани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Pr="009C05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не менее 30% за период с месяца, следующего за месяцем финансирования (за исключением проектов, профинансированных в 4 квартале).</w:t>
            </w:r>
          </w:p>
          <w:p w14:paraId="5319893A" w14:textId="77777777" w:rsidR="00A909A7" w:rsidRDefault="00A909A7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3.2. по итогам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календарного 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года, следующего (и каждого последующего) за годом финансирования – не менее </w:t>
            </w:r>
            <w:r w:rsidRPr="003E60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30% за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отчетный период.</w:t>
            </w:r>
          </w:p>
          <w:p w14:paraId="73D03967" w14:textId="59B95869" w:rsidR="00A909A7" w:rsidRPr="00E734E9" w:rsidRDefault="00A909A7" w:rsidP="00AF0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734E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Импортозамещающий</w:t>
            </w:r>
          </w:p>
          <w:p w14:paraId="288DC17B" w14:textId="15B24A11" w:rsidR="00A909A7" w:rsidRPr="00AC5341" w:rsidRDefault="00A909A7" w:rsidP="00AF0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убъект МСП, объем выручки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реализации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произведенных им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товаров (без учета НДС) </w:t>
            </w:r>
            <w:r w:rsidRPr="009C0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3 или 12 месяцев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 выбору субъекта МСП)</w:t>
            </w:r>
            <w:r w:rsidRPr="003E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предшествующих месяцу обращения за финансированием по товарным </w:t>
            </w:r>
            <w:r w:rsidRPr="003E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позициям, указанным в Перечне «Импортозамещение», предусмотренном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E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настоящей спецификации, составляет не менее 50%</w:t>
            </w:r>
            <w:r w:rsidRPr="003E6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объема выручки (без учета НДС)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AC5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1446406" w14:textId="77777777" w:rsidR="00A909A7" w:rsidRPr="00103C07" w:rsidRDefault="00A909A7" w:rsidP="00AF0FF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н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период финансирования Субъект МСП гарантирует поступление выручки 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товарным позициям, указанным в Перечне «Импортозамещение», 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следующих объемах:</w:t>
            </w:r>
          </w:p>
          <w:p w14:paraId="17BE19F1" w14:textId="77777777" w:rsidR="00A909A7" w:rsidRPr="00103C07" w:rsidRDefault="00A909A7" w:rsidP="00AF0FF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</w:t>
            </w:r>
            <w:r w:rsidRPr="009C05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по итогам года финансирования – не менее 50% </w:t>
            </w:r>
            <w:r w:rsidRPr="009C0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объема выручки (без учета НДС) </w:t>
            </w:r>
            <w:r w:rsidRPr="009C05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 период с месяца, следующего за месяцем финансирования (за исключением проектов, профинансированных в 4 квартале).</w:t>
            </w:r>
          </w:p>
          <w:p w14:paraId="72F5EB45" w14:textId="77777777" w:rsidR="00A909A7" w:rsidRPr="00103C07" w:rsidRDefault="00A909A7" w:rsidP="00AF0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.2. по итогам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календарного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года, следующего (и каждого последующего) за годом финансирования – не менее </w:t>
            </w:r>
            <w:r w:rsidRPr="003E60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50%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 отчетный период.</w:t>
            </w:r>
          </w:p>
          <w:p w14:paraId="5F4FA329" w14:textId="77777777" w:rsidR="00A909A7" w:rsidRDefault="00A909A7" w:rsidP="00AF0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«Импортозамещение» включает в себя товарные позиции, относимые к импортозамещающим в соответствии с постановлением Министерства экономики Республики Беларусь от 10 мая 2022 г.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следующие товарные позиции в соответствии с ТН ВЭД ЕАЭС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13C03D2C" w14:textId="0D3347B8" w:rsidR="00A909A7" w:rsidRPr="00FB17EF" w:rsidRDefault="00A909A7" w:rsidP="00AF0FF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I (за исключением подгрупп 0104, 0106; 0201; 0202; 0206; 0207; 0210; 0301; 0305; 0401; 0402; 0403; 0404; 0405; 0406; 0407; 0408; 0501; 0504; 0506; 0507; 0508; 0510; 0511);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II (за исключением подгрупп 0602; 0604; 0701; 0702; 0704; 0706; 0707; 0709; 0710; 0801; 0808; 0810; 0811; 0812; 0910; 1007; 1102; 1105; 1106; 1107; 1108; 1109; 1207; 1210; 1211; 1214; 1404);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III (за исключением подгрупп 1501; 1502; 1507; 1514; 1515; 1518);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IV (за исключением подгрупп 1601; 1602; 1604; 1605; 1701; 1703; 1806; 1901; 2001; 2003; 2005; 2007; 2008; 2102; 2104; 2105; 2202; 2203; 2207; 2208; 2301; 2303; 2306; группы 24);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V (за исключением подгрупп 2501; 2507; 2517; 2520; 2522; 2523; 2606; 2616; 2619; 2620; 2703; 2707; 2708; 2710; 2711; 2713; 2714; 2715);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VI (за исключением подгрупп 2803; 2804; 2808; 2815; 2820; 2825; 2826; 2832; 2834; 2839; 2901; 2902; 2917; 2922; 2923; 2926; 2940; 3004; 3102; 3104; 3105; 3208; 3209; 3210; 3214; 3215; 3303; 3304; 3305; 3403; 3404; 3407; 3501; 3503; 3505; 3601; 3604; 3605; 3606; 3702; 3704; 3705; 3801; 3803; 3805; 3806; 3809; 3811; 3814; 3816; 3818; 3819; 3820; 3824; 3825);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VII (за исключением подгрупп 3901; 3907; 3908; 3909; 3915; 3916; 3917; 3920; 3921; 3922; 3923; 3924; 3925; 3926; 4003; 4004; 4006; 4007; 4008; 4009; 4011; 4012; 4013; 4016; 4017);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VIII (за исключением подгрупп 4101; 4104; 4107; 4112; 4201; 4202; 4301; 4304);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IX (за исключением подгрупп 4401; 4402; 4404; 4406; 4407; 4408; 4409; 4410; 4411; 4412; 4413; 4415; 4416; 4418; 4420; 4421; 4501; 4502; 4504; 4601;4602);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X (за исключением подгрупп 4701; 4703; 4704; 4706; 4707; 4801; 4803; 4804; 4805; 4806; 4810; 4812; 4814; 4817; 4818; 4820; 4821; 4823; 4901; 4907; 4908; 4909; 4910; 4911);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Раздел XI (за исключением подгрупп 5004; 5006; 5103; 5106; 5107; 5109; 5112; 5202; 5204; 5206; 5207; 5211; 5212; 5301; 5302; 5303; 5306; 5308; 5309; 5402; 5406; 5407; 5408; 5501; 5503; 5505; 5506; 5509; 5513; 5514; 5515; 5602; 5603; 5604; 5607; 5609; 5702; 5703; 5802; 5804; 5805; 5806; 5808; 5902; 5903; 5906; 5909; 6002; 6003; 6005; 6006; 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6101; 6102; 6104; 6106; 6107; 6108; 6109; 6110; 6111; 6112; 6113; 6114; 6115; 6201; 6202; 6203; 6204; 6205; 6206; 6207; 6211; 6212; 6213; 6214; 6302; 6303; 6304; 6306; 6309; 6310);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XII (за исключением подгруппы 6401; 6402; 6403; 6404; 6406; 6502; 6505; 6507; 6601; 6603; 6704);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XIII (за исключением подгрупп 6801; 6802; 6803; 6805; 6806; 6807; 6808; 6809; 6810; 6811; 6815; 6904;6905;  6906; 6907; 6910; 6911; 6913; 7001; 7002; 7003; 7004; 7005; 7007; 7008; 7009; 7010; 7013; 7015; 7016; 7018; 7019);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XV (за исключением подгрупп 7207; 7213; 7214; 7217; 7221; 7224; 7227; 7228; 7229; 7304; 7307; 7308; 7309; 7310; 7311; 7312; 7314; 7317; 7318; 7320; 7321; 7322; 7325; 7326; 7403; 7413; 7419; 7507; 7604; 7609; 7610; 7614; 7616; 7801; 7902; 7904; 7905;  8103; 8113; 8202; 8207; 8210; 8215; 8303; 8305; 8307; 8309; 8310; 8311);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XVI (за исключением подгрупп 8403; 8404; 8405; 8406; 8408; 8411; 8412; 8413; 8414; 8418; 8421; 8428; 8429; 8430; 8431; 8432; 8433; 8435; 3436; 8437; 8438; 8443; 8450; 8451; 8456; 8459; 8460; 8461; 8464; 8466; 8474; 8479; 8481; 8483; 8484; 8486; 8502; 8503; 8504; 8507; 8510; 8511; 8512; 8516; 8519; 8522; 8526; 8528; 8530; 8531; 8532; 8537; 8538; 8541; 8542; 8544);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XVII (за исключением подгрупп 8602; 8603; 8606; 8607; 8608; 8701; 8702; 8703; 8704; 8705; 8706; 8707; 8708; 8709; 8710; 8711; 8716);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XVIII (за исключением подгрупп 9001; 9002; 9005; 9006; 9011; 9012; 9013; 9015; 9022; 9023; 9024; 9025; 9026; 9028; 9029; 9030; 9031; 9032; 9033; 9101; 9103; 9104; 9105; 9107; 9112; 9114; 9201; 9208);</w:t>
            </w:r>
            <w:r w:rsidRPr="00B20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 XX (за исключением подгрупп 9401; 9402; 9403; 9404; 9405; 9406; 9503; 9505; 9508; 9601; 9604; 9610; 9614; 9619; 9620).</w:t>
            </w:r>
          </w:p>
        </w:tc>
      </w:tr>
      <w:tr w:rsidR="00E103FE" w:rsidRPr="00022837" w14:paraId="5CCFC9A8" w14:textId="77777777" w:rsidTr="00765B80">
        <w:trPr>
          <w:trHeight w:val="4346"/>
          <w:jc w:val="center"/>
        </w:trPr>
        <w:tc>
          <w:tcPr>
            <w:tcW w:w="2642" w:type="dxa"/>
            <w:vMerge/>
            <w:shd w:val="clear" w:color="auto" w:fill="auto"/>
          </w:tcPr>
          <w:p w14:paraId="42B6E7F5" w14:textId="77777777" w:rsidR="00E103FE" w:rsidRPr="00FB17EF" w:rsidRDefault="00E103FE" w:rsidP="00AF0F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4" w:type="dxa"/>
            <w:gridSpan w:val="4"/>
            <w:shd w:val="clear" w:color="auto" w:fill="auto"/>
          </w:tcPr>
          <w:p w14:paraId="6E0BD0BE" w14:textId="77777777" w:rsidR="00E103FE" w:rsidRPr="00E103FE" w:rsidRDefault="00E103FE" w:rsidP="00AF0FFA">
            <w:pPr>
              <w:tabs>
                <w:tab w:val="left" w:pos="1134"/>
              </w:tabs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103F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В рамках настоящего продукта не финансируется: </w:t>
            </w:r>
          </w:p>
          <w:p w14:paraId="5653F5E5" w14:textId="77777777" w:rsidR="00E103FE" w:rsidRPr="0025424A" w:rsidRDefault="00E103FE" w:rsidP="00AF0FFA">
            <w:pPr>
              <w:tabs>
                <w:tab w:val="left" w:pos="330"/>
              </w:tabs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типов жилых домов: одноквартирных и блокированных домов, многоквартирных домов, в т.ч. многоэтажных и квартир;</w:t>
            </w:r>
          </w:p>
          <w:p w14:paraId="6E0D292E" w14:textId="77777777" w:rsidR="00E103FE" w:rsidRPr="0025424A" w:rsidRDefault="00E103FE" w:rsidP="00AF0FFA">
            <w:pPr>
              <w:tabs>
                <w:tab w:val="left" w:pos="330"/>
              </w:tabs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легковых автомобилей; </w:t>
            </w:r>
          </w:p>
          <w:p w14:paraId="09F1C57F" w14:textId="77777777" w:rsidR="00E103FE" w:rsidRPr="0025424A" w:rsidRDefault="00E103FE" w:rsidP="00AF0FFA">
            <w:pPr>
              <w:tabs>
                <w:tab w:val="left" w:pos="330"/>
              </w:tabs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имущества</w:t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непосредственно не связанного с производственной деятельностью/деятельностью по оказани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/торговой деятельностью</w:t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29A5795" w14:textId="77777777" w:rsidR="00E103FE" w:rsidRDefault="00E103FE" w:rsidP="00AF0FFA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Лизинговая организация обязана досрочно осуществить выкуп облигаций в количестве, проданных Банку развития облигаций для финансирования </w:t>
            </w:r>
            <w:proofErr w:type="spellStart"/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>Субпроекта</w:t>
            </w:r>
            <w:proofErr w:type="spellEnd"/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(за вычетом ранее выкупленных облигаций в рамках данного </w:t>
            </w:r>
            <w:proofErr w:type="spellStart"/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>Субпроекта</w:t>
            </w:r>
            <w:proofErr w:type="spellEnd"/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при возникновении следующих случаев: 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1B324F50" w14:textId="2E80145F" w:rsidR="00E103FE" w:rsidRPr="008D5F0F" w:rsidRDefault="00E103FE" w:rsidP="00AF0FFA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нецелевого использования средств Субъектом МСП; </w:t>
            </w:r>
          </w:p>
          <w:p w14:paraId="7419700C" w14:textId="77777777" w:rsidR="00E103FE" w:rsidRPr="008D5F0F" w:rsidRDefault="00E103FE" w:rsidP="00AF0FFA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прекращения Субъектом МСП деятельности, профинансированной за счет средств Банка развития;  </w:t>
            </w:r>
          </w:p>
          <w:p w14:paraId="0EEC8136" w14:textId="77777777" w:rsidR="00E103FE" w:rsidRDefault="00E103FE" w:rsidP="00AF0FF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отсутствии поступлений экспортной выручки в иностранной валюте по заключенным экспортным контрактам в период финансирования в объемах, определенных настоящей спецификацией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C21EEB8" w14:textId="2225AA0B" w:rsidR="00E103FE" w:rsidRPr="00FB17EF" w:rsidRDefault="00E103FE" w:rsidP="00AF0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отсутствии поступлений выручки </w:t>
            </w:r>
            <w:r w:rsidRPr="00103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товарным импортозамещающим позициям, указанным в Перечне, </w:t>
            </w:r>
            <w:r w:rsidRPr="00103C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объемах, определенных настоящей спецификацией.</w:t>
            </w:r>
          </w:p>
        </w:tc>
      </w:tr>
      <w:tr w:rsidR="00233842" w:rsidRPr="00022837" w14:paraId="686AD5B6" w14:textId="77777777" w:rsidTr="00765B80">
        <w:trPr>
          <w:trHeight w:val="698"/>
          <w:jc w:val="center"/>
        </w:trPr>
        <w:tc>
          <w:tcPr>
            <w:tcW w:w="2642" w:type="dxa"/>
            <w:shd w:val="clear" w:color="auto" w:fill="auto"/>
          </w:tcPr>
          <w:p w14:paraId="05131510" w14:textId="77777777" w:rsidR="00233842" w:rsidRPr="00FB17EF" w:rsidRDefault="00233842" w:rsidP="002338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54" w:type="dxa"/>
            <w:gridSpan w:val="4"/>
            <w:shd w:val="clear" w:color="auto" w:fill="auto"/>
          </w:tcPr>
          <w:p w14:paraId="481BAA8E" w14:textId="0AE7B366" w:rsidR="00233842" w:rsidRPr="00E103FE" w:rsidRDefault="00233842" w:rsidP="00765B80">
            <w:pPr>
              <w:tabs>
                <w:tab w:val="left" w:pos="113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Стабильное финансовое состояние потенциального лизингополучателя.</w:t>
            </w:r>
            <w:r w:rsidR="00765B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реальных источников погашения лизинговых платежей.</w:t>
            </w:r>
          </w:p>
        </w:tc>
      </w:tr>
    </w:tbl>
    <w:p w14:paraId="3BF3779A" w14:textId="77777777" w:rsidR="008E13EF" w:rsidRPr="008D5F0F" w:rsidRDefault="008E13EF" w:rsidP="0034173C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spacing w:after="0" w:line="240" w:lineRule="auto"/>
        <w:ind w:left="10632"/>
        <w:jc w:val="right"/>
        <w:rPr>
          <w:rFonts w:ascii="Times New Roman" w:eastAsia="Calibri" w:hAnsi="Times New Roman" w:cs="Times New Roman"/>
          <w:sz w:val="26"/>
          <w:szCs w:val="26"/>
        </w:rPr>
      </w:pPr>
    </w:p>
    <w:sectPr w:rsidR="008E13EF" w:rsidRPr="008D5F0F" w:rsidSect="00A93DCD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24AAC" w14:textId="77777777" w:rsidR="001930C4" w:rsidRDefault="001930C4" w:rsidP="002D04AE">
      <w:pPr>
        <w:spacing w:after="0" w:line="240" w:lineRule="auto"/>
      </w:pPr>
      <w:r>
        <w:separator/>
      </w:r>
    </w:p>
  </w:endnote>
  <w:endnote w:type="continuationSeparator" w:id="0">
    <w:p w14:paraId="1D08DE49" w14:textId="77777777" w:rsidR="001930C4" w:rsidRDefault="001930C4" w:rsidP="002D0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616FD" w14:textId="77777777" w:rsidR="001930C4" w:rsidRDefault="001930C4" w:rsidP="002D04AE">
      <w:pPr>
        <w:spacing w:after="0" w:line="240" w:lineRule="auto"/>
      </w:pPr>
      <w:r>
        <w:separator/>
      </w:r>
    </w:p>
  </w:footnote>
  <w:footnote w:type="continuationSeparator" w:id="0">
    <w:p w14:paraId="0821EC3D" w14:textId="77777777" w:rsidR="001930C4" w:rsidRDefault="001930C4" w:rsidP="002D04AE">
      <w:pPr>
        <w:spacing w:after="0" w:line="240" w:lineRule="auto"/>
      </w:pPr>
      <w:r>
        <w:continuationSeparator/>
      </w:r>
    </w:p>
  </w:footnote>
  <w:footnote w:id="1">
    <w:p w14:paraId="01EFF6EF" w14:textId="77777777" w:rsidR="00AF0FFA" w:rsidRPr="00A62E6D" w:rsidRDefault="00AF0FFA" w:rsidP="00E5512A">
      <w:pPr>
        <w:pStyle w:val="af0"/>
        <w:rPr>
          <w:sz w:val="18"/>
          <w:szCs w:val="18"/>
        </w:rPr>
      </w:pPr>
      <w:r w:rsidRPr="00A62E6D">
        <w:rPr>
          <w:rStyle w:val="af2"/>
          <w:sz w:val="18"/>
          <w:szCs w:val="18"/>
        </w:rPr>
        <w:footnoteRef/>
      </w:r>
      <w:r w:rsidRPr="00A62E6D">
        <w:rPr>
          <w:sz w:val="18"/>
          <w:szCs w:val="18"/>
        </w:rPr>
        <w:t>Под имуществом понимаются основные средства</w:t>
      </w:r>
    </w:p>
  </w:footnote>
  <w:footnote w:id="2">
    <w:p w14:paraId="03531FEF" w14:textId="77777777" w:rsidR="00A909A7" w:rsidRDefault="00A909A7" w:rsidP="00BB3EA1">
      <w:pPr>
        <w:pStyle w:val="af0"/>
      </w:pPr>
      <w:r>
        <w:rPr>
          <w:rStyle w:val="af2"/>
        </w:rPr>
        <w:footnoteRef/>
      </w:r>
      <w:r>
        <w:t xml:space="preserve"> О</w:t>
      </w:r>
      <w:r w:rsidRPr="000C69A7">
        <w:t xml:space="preserve">бъем выручки от реализации товаров </w:t>
      </w:r>
      <w:r>
        <w:t>может суммироваться</w:t>
      </w:r>
      <w:r w:rsidRPr="000C69A7">
        <w:t xml:space="preserve"> по </w:t>
      </w:r>
      <w:r>
        <w:t xml:space="preserve">нескольким </w:t>
      </w:r>
      <w:r w:rsidRPr="000C69A7">
        <w:t>товарным позициям</w:t>
      </w:r>
      <w:r>
        <w:t>.</w:t>
      </w:r>
    </w:p>
  </w:footnote>
  <w:footnote w:id="3">
    <w:p w14:paraId="26FCCF3F" w14:textId="77777777" w:rsidR="00A909A7" w:rsidRDefault="00A909A7" w:rsidP="00BB3EA1">
      <w:pPr>
        <w:pStyle w:val="af0"/>
      </w:pPr>
      <w:r>
        <w:rPr>
          <w:rStyle w:val="af2"/>
        </w:rPr>
        <w:footnoteRef/>
      </w:r>
      <w:r>
        <w:t xml:space="preserve"> ТН ВЭД ЕАЭС – Единая товарная номенклатура внешнеэкономической деятельности Евразийского экономического союза.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3752F"/>
    <w:multiLevelType w:val="hybridMultilevel"/>
    <w:tmpl w:val="565A4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10668"/>
    <w:multiLevelType w:val="hybridMultilevel"/>
    <w:tmpl w:val="DAF69BEE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A160B"/>
    <w:multiLevelType w:val="hybridMultilevel"/>
    <w:tmpl w:val="479EC7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91135F"/>
    <w:multiLevelType w:val="hybridMultilevel"/>
    <w:tmpl w:val="86DA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E168E"/>
    <w:multiLevelType w:val="hybridMultilevel"/>
    <w:tmpl w:val="D5FA80F4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C206F"/>
    <w:multiLevelType w:val="hybridMultilevel"/>
    <w:tmpl w:val="EEF6F5CE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06FA7"/>
    <w:multiLevelType w:val="hybridMultilevel"/>
    <w:tmpl w:val="E702D1FC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F245D"/>
    <w:multiLevelType w:val="hybridMultilevel"/>
    <w:tmpl w:val="702E0940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567A9"/>
    <w:multiLevelType w:val="hybridMultilevel"/>
    <w:tmpl w:val="208AC7C0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D0587"/>
    <w:multiLevelType w:val="hybridMultilevel"/>
    <w:tmpl w:val="53EAA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20C80"/>
    <w:multiLevelType w:val="hybridMultilevel"/>
    <w:tmpl w:val="59824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97F35"/>
    <w:multiLevelType w:val="hybridMultilevel"/>
    <w:tmpl w:val="C6589BBA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4666A"/>
    <w:multiLevelType w:val="hybridMultilevel"/>
    <w:tmpl w:val="9CFE51BE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99495">
    <w:abstractNumId w:val="5"/>
  </w:num>
  <w:num w:numId="2" w16cid:durableId="1366247195">
    <w:abstractNumId w:val="2"/>
  </w:num>
  <w:num w:numId="3" w16cid:durableId="1984045687">
    <w:abstractNumId w:val="3"/>
  </w:num>
  <w:num w:numId="4" w16cid:durableId="1329794502">
    <w:abstractNumId w:val="12"/>
  </w:num>
  <w:num w:numId="5" w16cid:durableId="314341613">
    <w:abstractNumId w:val="11"/>
  </w:num>
  <w:num w:numId="6" w16cid:durableId="906572828">
    <w:abstractNumId w:val="7"/>
  </w:num>
  <w:num w:numId="7" w16cid:durableId="763961747">
    <w:abstractNumId w:val="6"/>
  </w:num>
  <w:num w:numId="8" w16cid:durableId="1766534361">
    <w:abstractNumId w:val="8"/>
  </w:num>
  <w:num w:numId="9" w16cid:durableId="276451902">
    <w:abstractNumId w:val="1"/>
  </w:num>
  <w:num w:numId="10" w16cid:durableId="2023050215">
    <w:abstractNumId w:val="0"/>
  </w:num>
  <w:num w:numId="11" w16cid:durableId="251397879">
    <w:abstractNumId w:val="4"/>
  </w:num>
  <w:num w:numId="12" w16cid:durableId="1064840297">
    <w:abstractNumId w:val="10"/>
  </w:num>
  <w:num w:numId="13" w16cid:durableId="1635058766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4803E9"/>
    <w:rsid w:val="00001975"/>
    <w:rsid w:val="00001A3D"/>
    <w:rsid w:val="0001328C"/>
    <w:rsid w:val="000212CA"/>
    <w:rsid w:val="0002288E"/>
    <w:rsid w:val="00027D47"/>
    <w:rsid w:val="0003457F"/>
    <w:rsid w:val="0004474A"/>
    <w:rsid w:val="000453E8"/>
    <w:rsid w:val="000508CD"/>
    <w:rsid w:val="0005368D"/>
    <w:rsid w:val="00064329"/>
    <w:rsid w:val="000650A6"/>
    <w:rsid w:val="00066CBB"/>
    <w:rsid w:val="000913CB"/>
    <w:rsid w:val="00093F4B"/>
    <w:rsid w:val="000A116A"/>
    <w:rsid w:val="000A4E73"/>
    <w:rsid w:val="000C1BCF"/>
    <w:rsid w:val="000C57B4"/>
    <w:rsid w:val="000D4AD2"/>
    <w:rsid w:val="000E758E"/>
    <w:rsid w:val="000F2D1F"/>
    <w:rsid w:val="000F3EC7"/>
    <w:rsid w:val="001006EA"/>
    <w:rsid w:val="001128CD"/>
    <w:rsid w:val="00123180"/>
    <w:rsid w:val="00126230"/>
    <w:rsid w:val="001323BB"/>
    <w:rsid w:val="00135EEC"/>
    <w:rsid w:val="00137127"/>
    <w:rsid w:val="001477A5"/>
    <w:rsid w:val="001527A3"/>
    <w:rsid w:val="00154A99"/>
    <w:rsid w:val="001657DC"/>
    <w:rsid w:val="001666C4"/>
    <w:rsid w:val="00166911"/>
    <w:rsid w:val="00171832"/>
    <w:rsid w:val="00176C2C"/>
    <w:rsid w:val="0017781B"/>
    <w:rsid w:val="0018147C"/>
    <w:rsid w:val="001833CF"/>
    <w:rsid w:val="00191DBC"/>
    <w:rsid w:val="001930C4"/>
    <w:rsid w:val="00195C40"/>
    <w:rsid w:val="00196D15"/>
    <w:rsid w:val="001A5D0B"/>
    <w:rsid w:val="001A637D"/>
    <w:rsid w:val="001B3910"/>
    <w:rsid w:val="001B544E"/>
    <w:rsid w:val="001D04E2"/>
    <w:rsid w:val="001D0E04"/>
    <w:rsid w:val="001D6710"/>
    <w:rsid w:val="001E586D"/>
    <w:rsid w:val="001F0668"/>
    <w:rsid w:val="00207200"/>
    <w:rsid w:val="00213080"/>
    <w:rsid w:val="002156A3"/>
    <w:rsid w:val="00226CBF"/>
    <w:rsid w:val="00230A56"/>
    <w:rsid w:val="00232CEA"/>
    <w:rsid w:val="00233842"/>
    <w:rsid w:val="00240656"/>
    <w:rsid w:val="00241966"/>
    <w:rsid w:val="00241E32"/>
    <w:rsid w:val="00241EA9"/>
    <w:rsid w:val="00245C29"/>
    <w:rsid w:val="002505F3"/>
    <w:rsid w:val="0025424A"/>
    <w:rsid w:val="00260E07"/>
    <w:rsid w:val="00261DDF"/>
    <w:rsid w:val="00265135"/>
    <w:rsid w:val="00267922"/>
    <w:rsid w:val="002809E5"/>
    <w:rsid w:val="00290E28"/>
    <w:rsid w:val="0029210D"/>
    <w:rsid w:val="002A506A"/>
    <w:rsid w:val="002B78FF"/>
    <w:rsid w:val="002C3C09"/>
    <w:rsid w:val="002C4E0C"/>
    <w:rsid w:val="002C516A"/>
    <w:rsid w:val="002D04AE"/>
    <w:rsid w:val="002D2134"/>
    <w:rsid w:val="002D27B4"/>
    <w:rsid w:val="002D4310"/>
    <w:rsid w:val="002D60F2"/>
    <w:rsid w:val="002E24E2"/>
    <w:rsid w:val="002F0B7E"/>
    <w:rsid w:val="002F2142"/>
    <w:rsid w:val="002F6DF0"/>
    <w:rsid w:val="00311D22"/>
    <w:rsid w:val="00323EBB"/>
    <w:rsid w:val="00327154"/>
    <w:rsid w:val="00331776"/>
    <w:rsid w:val="003402A2"/>
    <w:rsid w:val="0034173C"/>
    <w:rsid w:val="00343C89"/>
    <w:rsid w:val="00344576"/>
    <w:rsid w:val="00356629"/>
    <w:rsid w:val="0036100D"/>
    <w:rsid w:val="00362321"/>
    <w:rsid w:val="00365DEF"/>
    <w:rsid w:val="00383E90"/>
    <w:rsid w:val="00385C16"/>
    <w:rsid w:val="003A0629"/>
    <w:rsid w:val="003A428A"/>
    <w:rsid w:val="003A6685"/>
    <w:rsid w:val="003B09B4"/>
    <w:rsid w:val="003B1D80"/>
    <w:rsid w:val="003C33AA"/>
    <w:rsid w:val="003C341C"/>
    <w:rsid w:val="003D2A9D"/>
    <w:rsid w:val="003D402E"/>
    <w:rsid w:val="003E7883"/>
    <w:rsid w:val="003E7C34"/>
    <w:rsid w:val="003F2E4E"/>
    <w:rsid w:val="003F7A06"/>
    <w:rsid w:val="00403B6E"/>
    <w:rsid w:val="00416A0F"/>
    <w:rsid w:val="00433777"/>
    <w:rsid w:val="00435765"/>
    <w:rsid w:val="00445B5F"/>
    <w:rsid w:val="004470A8"/>
    <w:rsid w:val="00454304"/>
    <w:rsid w:val="00460D34"/>
    <w:rsid w:val="00471810"/>
    <w:rsid w:val="00471F6D"/>
    <w:rsid w:val="00471FC4"/>
    <w:rsid w:val="00475F4E"/>
    <w:rsid w:val="004803E9"/>
    <w:rsid w:val="004924FF"/>
    <w:rsid w:val="00493987"/>
    <w:rsid w:val="004A45FD"/>
    <w:rsid w:val="004B510C"/>
    <w:rsid w:val="004D4FC6"/>
    <w:rsid w:val="004D5B9E"/>
    <w:rsid w:val="004E2E0D"/>
    <w:rsid w:val="004F0C83"/>
    <w:rsid w:val="004F2DFF"/>
    <w:rsid w:val="00506E6C"/>
    <w:rsid w:val="00512409"/>
    <w:rsid w:val="005154A0"/>
    <w:rsid w:val="00521637"/>
    <w:rsid w:val="00533F7E"/>
    <w:rsid w:val="00534014"/>
    <w:rsid w:val="00536169"/>
    <w:rsid w:val="005509D7"/>
    <w:rsid w:val="00551797"/>
    <w:rsid w:val="005548F7"/>
    <w:rsid w:val="00555F45"/>
    <w:rsid w:val="005627B9"/>
    <w:rsid w:val="00564CED"/>
    <w:rsid w:val="00575785"/>
    <w:rsid w:val="0058091E"/>
    <w:rsid w:val="00591D80"/>
    <w:rsid w:val="00594696"/>
    <w:rsid w:val="005A17BD"/>
    <w:rsid w:val="005A7A5E"/>
    <w:rsid w:val="005C366F"/>
    <w:rsid w:val="005D19E2"/>
    <w:rsid w:val="005D39CB"/>
    <w:rsid w:val="005E3B75"/>
    <w:rsid w:val="005F7A01"/>
    <w:rsid w:val="00602022"/>
    <w:rsid w:val="006029AB"/>
    <w:rsid w:val="00604422"/>
    <w:rsid w:val="00604795"/>
    <w:rsid w:val="00616288"/>
    <w:rsid w:val="00622B82"/>
    <w:rsid w:val="00626A0F"/>
    <w:rsid w:val="006320A2"/>
    <w:rsid w:val="00632167"/>
    <w:rsid w:val="00632BBB"/>
    <w:rsid w:val="0064114D"/>
    <w:rsid w:val="00642DB0"/>
    <w:rsid w:val="006446C7"/>
    <w:rsid w:val="00645723"/>
    <w:rsid w:val="00646112"/>
    <w:rsid w:val="0065337D"/>
    <w:rsid w:val="00653972"/>
    <w:rsid w:val="006566CA"/>
    <w:rsid w:val="00660BB4"/>
    <w:rsid w:val="0066341B"/>
    <w:rsid w:val="006759E9"/>
    <w:rsid w:val="00676B99"/>
    <w:rsid w:val="00680921"/>
    <w:rsid w:val="006904EB"/>
    <w:rsid w:val="00692311"/>
    <w:rsid w:val="00692512"/>
    <w:rsid w:val="0069455C"/>
    <w:rsid w:val="00695688"/>
    <w:rsid w:val="006958D6"/>
    <w:rsid w:val="00697146"/>
    <w:rsid w:val="006A1541"/>
    <w:rsid w:val="006A2C29"/>
    <w:rsid w:val="006A6575"/>
    <w:rsid w:val="006B28E8"/>
    <w:rsid w:val="006C269C"/>
    <w:rsid w:val="006C548D"/>
    <w:rsid w:val="006C7F3E"/>
    <w:rsid w:val="006D0BFF"/>
    <w:rsid w:val="006D3587"/>
    <w:rsid w:val="006D4D80"/>
    <w:rsid w:val="006E06A3"/>
    <w:rsid w:val="006E0F11"/>
    <w:rsid w:val="006E6433"/>
    <w:rsid w:val="006E7ECA"/>
    <w:rsid w:val="00701615"/>
    <w:rsid w:val="0070425C"/>
    <w:rsid w:val="00713BC1"/>
    <w:rsid w:val="00716C68"/>
    <w:rsid w:val="007256D7"/>
    <w:rsid w:val="00725C99"/>
    <w:rsid w:val="0073552F"/>
    <w:rsid w:val="00743B9F"/>
    <w:rsid w:val="007615F9"/>
    <w:rsid w:val="00765B80"/>
    <w:rsid w:val="007745C9"/>
    <w:rsid w:val="0078230F"/>
    <w:rsid w:val="0079720B"/>
    <w:rsid w:val="007A0415"/>
    <w:rsid w:val="007A2B0A"/>
    <w:rsid w:val="007A4734"/>
    <w:rsid w:val="007A7AA3"/>
    <w:rsid w:val="007B0C35"/>
    <w:rsid w:val="007B22F5"/>
    <w:rsid w:val="007B35FD"/>
    <w:rsid w:val="007D7220"/>
    <w:rsid w:val="007E6D20"/>
    <w:rsid w:val="00801964"/>
    <w:rsid w:val="008165B0"/>
    <w:rsid w:val="00821B5A"/>
    <w:rsid w:val="008275B8"/>
    <w:rsid w:val="00827A11"/>
    <w:rsid w:val="008343F3"/>
    <w:rsid w:val="00841F44"/>
    <w:rsid w:val="008504F7"/>
    <w:rsid w:val="00850730"/>
    <w:rsid w:val="0085500C"/>
    <w:rsid w:val="008662C3"/>
    <w:rsid w:val="008762BD"/>
    <w:rsid w:val="00877A0A"/>
    <w:rsid w:val="008834D2"/>
    <w:rsid w:val="00884F52"/>
    <w:rsid w:val="008A008D"/>
    <w:rsid w:val="008A5754"/>
    <w:rsid w:val="008B4FF5"/>
    <w:rsid w:val="008B6019"/>
    <w:rsid w:val="008B7E9A"/>
    <w:rsid w:val="008C5A3F"/>
    <w:rsid w:val="008C6CA7"/>
    <w:rsid w:val="008D0317"/>
    <w:rsid w:val="008D49B0"/>
    <w:rsid w:val="008D72A1"/>
    <w:rsid w:val="008D7A73"/>
    <w:rsid w:val="008E13EF"/>
    <w:rsid w:val="008E4B04"/>
    <w:rsid w:val="008E681A"/>
    <w:rsid w:val="008F70BD"/>
    <w:rsid w:val="00917FBA"/>
    <w:rsid w:val="0093342D"/>
    <w:rsid w:val="009338BA"/>
    <w:rsid w:val="00945A38"/>
    <w:rsid w:val="00954249"/>
    <w:rsid w:val="0095528C"/>
    <w:rsid w:val="009711D0"/>
    <w:rsid w:val="009761E5"/>
    <w:rsid w:val="00982236"/>
    <w:rsid w:val="0098630E"/>
    <w:rsid w:val="00987E1C"/>
    <w:rsid w:val="009916B8"/>
    <w:rsid w:val="009A11A4"/>
    <w:rsid w:val="009A20F6"/>
    <w:rsid w:val="009A2806"/>
    <w:rsid w:val="009B244A"/>
    <w:rsid w:val="009D2E86"/>
    <w:rsid w:val="009D5335"/>
    <w:rsid w:val="009E36A1"/>
    <w:rsid w:val="009E4357"/>
    <w:rsid w:val="009F40E3"/>
    <w:rsid w:val="009F77D6"/>
    <w:rsid w:val="00A01CF0"/>
    <w:rsid w:val="00A11DE8"/>
    <w:rsid w:val="00A1410C"/>
    <w:rsid w:val="00A47695"/>
    <w:rsid w:val="00A503C5"/>
    <w:rsid w:val="00A50D45"/>
    <w:rsid w:val="00A52233"/>
    <w:rsid w:val="00A57204"/>
    <w:rsid w:val="00A60EDD"/>
    <w:rsid w:val="00A6290A"/>
    <w:rsid w:val="00A75072"/>
    <w:rsid w:val="00A76C9E"/>
    <w:rsid w:val="00A831C0"/>
    <w:rsid w:val="00A83C6B"/>
    <w:rsid w:val="00A87908"/>
    <w:rsid w:val="00A909A7"/>
    <w:rsid w:val="00A93DCD"/>
    <w:rsid w:val="00A94B34"/>
    <w:rsid w:val="00AA4533"/>
    <w:rsid w:val="00AA6DD1"/>
    <w:rsid w:val="00AA7AB4"/>
    <w:rsid w:val="00AB1990"/>
    <w:rsid w:val="00AB683D"/>
    <w:rsid w:val="00AD1E1C"/>
    <w:rsid w:val="00AD4D64"/>
    <w:rsid w:val="00AE6A3A"/>
    <w:rsid w:val="00AF0FFA"/>
    <w:rsid w:val="00AF3C77"/>
    <w:rsid w:val="00AF3E21"/>
    <w:rsid w:val="00AF6480"/>
    <w:rsid w:val="00B106CE"/>
    <w:rsid w:val="00B11382"/>
    <w:rsid w:val="00B16219"/>
    <w:rsid w:val="00B17064"/>
    <w:rsid w:val="00B20515"/>
    <w:rsid w:val="00B206AF"/>
    <w:rsid w:val="00B27092"/>
    <w:rsid w:val="00B302F7"/>
    <w:rsid w:val="00B349AB"/>
    <w:rsid w:val="00B36865"/>
    <w:rsid w:val="00B41F79"/>
    <w:rsid w:val="00B4477F"/>
    <w:rsid w:val="00B47F18"/>
    <w:rsid w:val="00B563C2"/>
    <w:rsid w:val="00B6018B"/>
    <w:rsid w:val="00B62EA4"/>
    <w:rsid w:val="00B72B2C"/>
    <w:rsid w:val="00B7306C"/>
    <w:rsid w:val="00B959C7"/>
    <w:rsid w:val="00B970D5"/>
    <w:rsid w:val="00BA1421"/>
    <w:rsid w:val="00BA23BB"/>
    <w:rsid w:val="00BA4D39"/>
    <w:rsid w:val="00BB37E2"/>
    <w:rsid w:val="00BB3EA1"/>
    <w:rsid w:val="00BC30B0"/>
    <w:rsid w:val="00BC7811"/>
    <w:rsid w:val="00BD37FC"/>
    <w:rsid w:val="00BF74D2"/>
    <w:rsid w:val="00C03C03"/>
    <w:rsid w:val="00C128BF"/>
    <w:rsid w:val="00C1709A"/>
    <w:rsid w:val="00C17CAF"/>
    <w:rsid w:val="00C25A49"/>
    <w:rsid w:val="00C4410E"/>
    <w:rsid w:val="00C5299C"/>
    <w:rsid w:val="00C61694"/>
    <w:rsid w:val="00C619CD"/>
    <w:rsid w:val="00C9462D"/>
    <w:rsid w:val="00CB6D5B"/>
    <w:rsid w:val="00CB74FD"/>
    <w:rsid w:val="00CC2714"/>
    <w:rsid w:val="00CC3811"/>
    <w:rsid w:val="00CC6A23"/>
    <w:rsid w:val="00CC7F11"/>
    <w:rsid w:val="00CD3EA7"/>
    <w:rsid w:val="00CE642C"/>
    <w:rsid w:val="00CF46D7"/>
    <w:rsid w:val="00CF6AFD"/>
    <w:rsid w:val="00D0099D"/>
    <w:rsid w:val="00D0544A"/>
    <w:rsid w:val="00D1307A"/>
    <w:rsid w:val="00D171E0"/>
    <w:rsid w:val="00D174D5"/>
    <w:rsid w:val="00D21974"/>
    <w:rsid w:val="00D319D6"/>
    <w:rsid w:val="00D3389C"/>
    <w:rsid w:val="00D4007D"/>
    <w:rsid w:val="00D45010"/>
    <w:rsid w:val="00D4760A"/>
    <w:rsid w:val="00D51B39"/>
    <w:rsid w:val="00D52E73"/>
    <w:rsid w:val="00D60605"/>
    <w:rsid w:val="00D724B3"/>
    <w:rsid w:val="00D7577F"/>
    <w:rsid w:val="00D80791"/>
    <w:rsid w:val="00D83AAF"/>
    <w:rsid w:val="00D850B1"/>
    <w:rsid w:val="00D86796"/>
    <w:rsid w:val="00D907A8"/>
    <w:rsid w:val="00D9192D"/>
    <w:rsid w:val="00D91B45"/>
    <w:rsid w:val="00D939A7"/>
    <w:rsid w:val="00D94B54"/>
    <w:rsid w:val="00DA6FEC"/>
    <w:rsid w:val="00DB3995"/>
    <w:rsid w:val="00DB4F51"/>
    <w:rsid w:val="00DB57AC"/>
    <w:rsid w:val="00DB63B8"/>
    <w:rsid w:val="00DE11E2"/>
    <w:rsid w:val="00E05271"/>
    <w:rsid w:val="00E065D0"/>
    <w:rsid w:val="00E072AB"/>
    <w:rsid w:val="00E103FE"/>
    <w:rsid w:val="00E1049A"/>
    <w:rsid w:val="00E11CD3"/>
    <w:rsid w:val="00E120C1"/>
    <w:rsid w:val="00E15129"/>
    <w:rsid w:val="00E2028C"/>
    <w:rsid w:val="00E20D0B"/>
    <w:rsid w:val="00E32667"/>
    <w:rsid w:val="00E37446"/>
    <w:rsid w:val="00E40C1E"/>
    <w:rsid w:val="00E41F20"/>
    <w:rsid w:val="00E5512A"/>
    <w:rsid w:val="00E56AA1"/>
    <w:rsid w:val="00E5736F"/>
    <w:rsid w:val="00E734E9"/>
    <w:rsid w:val="00E73BF0"/>
    <w:rsid w:val="00EA36DB"/>
    <w:rsid w:val="00EA3900"/>
    <w:rsid w:val="00EA6DDA"/>
    <w:rsid w:val="00EB2146"/>
    <w:rsid w:val="00EB24F4"/>
    <w:rsid w:val="00EB611C"/>
    <w:rsid w:val="00EB6762"/>
    <w:rsid w:val="00EC2234"/>
    <w:rsid w:val="00EC4475"/>
    <w:rsid w:val="00EC6C83"/>
    <w:rsid w:val="00EC72B8"/>
    <w:rsid w:val="00EC73C2"/>
    <w:rsid w:val="00ED0D7E"/>
    <w:rsid w:val="00ED123C"/>
    <w:rsid w:val="00ED20BD"/>
    <w:rsid w:val="00EF0B3E"/>
    <w:rsid w:val="00F046EB"/>
    <w:rsid w:val="00F07F54"/>
    <w:rsid w:val="00F13992"/>
    <w:rsid w:val="00F26103"/>
    <w:rsid w:val="00F270B0"/>
    <w:rsid w:val="00F2768A"/>
    <w:rsid w:val="00F30213"/>
    <w:rsid w:val="00F378F7"/>
    <w:rsid w:val="00F37A3C"/>
    <w:rsid w:val="00F434D3"/>
    <w:rsid w:val="00F55CA0"/>
    <w:rsid w:val="00F65F3A"/>
    <w:rsid w:val="00F6715C"/>
    <w:rsid w:val="00F737A7"/>
    <w:rsid w:val="00F824D5"/>
    <w:rsid w:val="00F87169"/>
    <w:rsid w:val="00F900CB"/>
    <w:rsid w:val="00F91128"/>
    <w:rsid w:val="00F93E4D"/>
    <w:rsid w:val="00FA4590"/>
    <w:rsid w:val="00FA7228"/>
    <w:rsid w:val="00FB0A89"/>
    <w:rsid w:val="00FB4643"/>
    <w:rsid w:val="00FC0B1F"/>
    <w:rsid w:val="00FC120A"/>
    <w:rsid w:val="00FC4960"/>
    <w:rsid w:val="00FD01B2"/>
    <w:rsid w:val="00FD5AEB"/>
    <w:rsid w:val="00FE7385"/>
    <w:rsid w:val="00F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8F13"/>
  <w15:chartTrackingRefBased/>
  <w15:docId w15:val="{252B0649-B4A4-41B4-93EE-93018F9AD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865"/>
  </w:style>
  <w:style w:type="paragraph" w:styleId="1">
    <w:name w:val="heading 1"/>
    <w:basedOn w:val="a"/>
    <w:next w:val="a"/>
    <w:link w:val="10"/>
    <w:qFormat/>
    <w:rsid w:val="002D04AE"/>
    <w:pPr>
      <w:keepNext/>
      <w:spacing w:after="0" w:line="240" w:lineRule="auto"/>
      <w:jc w:val="both"/>
      <w:outlineLvl w:val="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4AE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04AE"/>
  </w:style>
  <w:style w:type="paragraph" w:styleId="a3">
    <w:name w:val="List Paragraph"/>
    <w:aliases w:val="List Paragraph 1,NUMBERED PARAGRAPH,Bullets,PAD,References,List_Paragraph,Multilevel para_II,List Paragraph1,Akapit z listą BS,List Paragraph (numbered (a)),IBL List Paragraph,List Paragraph nowy,Numbered List Paragraph,Bullet1"/>
    <w:basedOn w:val="a"/>
    <w:link w:val="a4"/>
    <w:uiPriority w:val="34"/>
    <w:qFormat/>
    <w:rsid w:val="002D0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D04A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D0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2D04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04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2D04A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D0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0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D04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D04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14">
    <w:name w:val="Основной 14+"/>
    <w:basedOn w:val="a"/>
    <w:link w:val="140"/>
    <w:rsid w:val="002D04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40">
    <w:name w:val="Основной 14+ Знак"/>
    <w:link w:val="14"/>
    <w:rsid w:val="002D04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3">
    <w:name w:val="Font Style13"/>
    <w:uiPriority w:val="99"/>
    <w:rsid w:val="002D04AE"/>
    <w:rPr>
      <w:rFonts w:ascii="Times New Roman" w:hAnsi="Times New Roman" w:cs="Times New Roman"/>
      <w:sz w:val="22"/>
      <w:szCs w:val="22"/>
    </w:rPr>
  </w:style>
  <w:style w:type="paragraph" w:styleId="ae">
    <w:name w:val="Normal (Web)"/>
    <w:basedOn w:val="a"/>
    <w:uiPriority w:val="99"/>
    <w:rsid w:val="002D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2D04A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D04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D04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2D04AE"/>
    <w:rPr>
      <w:color w:val="808080"/>
    </w:rPr>
  </w:style>
  <w:style w:type="character" w:customStyle="1" w:styleId="13">
    <w:name w:val="Стиль1"/>
    <w:basedOn w:val="a0"/>
    <w:uiPriority w:val="1"/>
    <w:rsid w:val="002D04AE"/>
    <w:rPr>
      <w:rFonts w:ascii="Times New Roman" w:hAnsi="Times New Roman"/>
      <w:sz w:val="18"/>
    </w:rPr>
  </w:style>
  <w:style w:type="character" w:customStyle="1" w:styleId="a4">
    <w:name w:val="Абзац списка Знак"/>
    <w:aliases w:val="List Paragraph 1 Знак,NUMBERED PARAGRAPH Знак,Bullets Знак,PAD Знак,References Знак,List_Paragraph Знак,Multilevel para_II Знак,List Paragraph1 Знак,Akapit z listą BS Знак,List Paragraph (numbered (a)) Знак,IBL List Paragraph Знак"/>
    <w:link w:val="a3"/>
    <w:uiPriority w:val="34"/>
    <w:locked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D04AE"/>
  </w:style>
  <w:style w:type="table" w:customStyle="1" w:styleId="15">
    <w:name w:val="Сетка таблицы1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rsid w:val="002D0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2D0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2D04AE"/>
    <w:rPr>
      <w:vertAlign w:val="superscript"/>
    </w:rPr>
  </w:style>
  <w:style w:type="paragraph" w:customStyle="1" w:styleId="ConsPlusTitle">
    <w:name w:val="ConsPlusTitle"/>
    <w:uiPriority w:val="99"/>
    <w:rsid w:val="002D04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eamble">
    <w:name w:val="Preamble"/>
    <w:basedOn w:val="2"/>
    <w:rsid w:val="002D04AE"/>
    <w:pPr>
      <w:spacing w:after="0" w:line="240" w:lineRule="auto"/>
      <w:ind w:right="-57" w:firstLine="709"/>
    </w:pPr>
    <w:rPr>
      <w:sz w:val="3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2D04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2D04A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D0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D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D04A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D0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38">
    <w:name w:val="Font Style38"/>
    <w:rsid w:val="002D04AE"/>
    <w:rPr>
      <w:rFonts w:ascii="Times New Roman" w:hAnsi="Times New Roman" w:cs="Times New Roman"/>
      <w:color w:val="000000"/>
      <w:sz w:val="26"/>
      <w:szCs w:val="26"/>
    </w:rPr>
  </w:style>
  <w:style w:type="table" w:customStyle="1" w:styleId="21">
    <w:name w:val="Сетка таблицы21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D04AE"/>
    <w:rPr>
      <w:color w:val="0000FF"/>
      <w:u w:val="single"/>
    </w:rPr>
  </w:style>
  <w:style w:type="paragraph" w:customStyle="1" w:styleId="16">
    <w:name w:val="Текст1"/>
    <w:basedOn w:val="a"/>
    <w:next w:val="af9"/>
    <w:link w:val="afa"/>
    <w:uiPriority w:val="99"/>
    <w:unhideWhenUsed/>
    <w:rsid w:val="002D04AE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0"/>
    <w:link w:val="16"/>
    <w:uiPriority w:val="99"/>
    <w:rsid w:val="002D04AE"/>
    <w:rPr>
      <w:rFonts w:ascii="Calibri" w:hAnsi="Calibri"/>
      <w:szCs w:val="21"/>
    </w:rPr>
  </w:style>
  <w:style w:type="numbering" w:customStyle="1" w:styleId="111">
    <w:name w:val="Нет списка111"/>
    <w:next w:val="a2"/>
    <w:uiPriority w:val="99"/>
    <w:semiHidden/>
    <w:unhideWhenUsed/>
    <w:rsid w:val="002D04AE"/>
  </w:style>
  <w:style w:type="character" w:styleId="afb">
    <w:name w:val="Strong"/>
    <w:basedOn w:val="a0"/>
    <w:qFormat/>
    <w:rsid w:val="002D04AE"/>
    <w:rPr>
      <w:b/>
      <w:bCs/>
    </w:rPr>
  </w:style>
  <w:style w:type="character" w:styleId="afc">
    <w:name w:val="Emphasis"/>
    <w:basedOn w:val="a0"/>
    <w:qFormat/>
    <w:rsid w:val="002D04AE"/>
    <w:rPr>
      <w:i/>
      <w:iCs/>
    </w:rPr>
  </w:style>
  <w:style w:type="table" w:customStyle="1" w:styleId="22">
    <w:name w:val="Сетка таблицы2"/>
    <w:basedOn w:val="a1"/>
    <w:next w:val="a7"/>
    <w:uiPriority w:val="59"/>
    <w:rsid w:val="002D04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7"/>
    <w:uiPriority w:val="99"/>
    <w:rsid w:val="002D04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99"/>
    <w:rsid w:val="002D04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17"/>
    <w:uiPriority w:val="99"/>
    <w:unhideWhenUsed/>
    <w:rsid w:val="002D04A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7">
    <w:name w:val="Текст Знак1"/>
    <w:basedOn w:val="a0"/>
    <w:link w:val="af9"/>
    <w:uiPriority w:val="99"/>
    <w:rsid w:val="002D04AE"/>
    <w:rPr>
      <w:rFonts w:ascii="Consolas" w:hAnsi="Consolas"/>
      <w:sz w:val="21"/>
      <w:szCs w:val="21"/>
    </w:rPr>
  </w:style>
  <w:style w:type="paragraph" w:styleId="afd">
    <w:name w:val="No Spacing"/>
    <w:link w:val="afe"/>
    <w:uiPriority w:val="1"/>
    <w:qFormat/>
    <w:rsid w:val="002D04AE"/>
    <w:pPr>
      <w:spacing w:after="0" w:line="240" w:lineRule="auto"/>
    </w:pPr>
    <w:rPr>
      <w:rFonts w:eastAsiaTheme="minorEastAsia"/>
      <w:lang w:eastAsia="ru-RU"/>
    </w:rPr>
  </w:style>
  <w:style w:type="character" w:customStyle="1" w:styleId="afe">
    <w:name w:val="Без интервала Знак"/>
    <w:basedOn w:val="a0"/>
    <w:link w:val="afd"/>
    <w:uiPriority w:val="1"/>
    <w:rsid w:val="002D04AE"/>
    <w:rPr>
      <w:rFonts w:eastAsiaTheme="minorEastAsia"/>
      <w:lang w:eastAsia="ru-RU"/>
    </w:rPr>
  </w:style>
  <w:style w:type="paragraph" w:styleId="aff">
    <w:name w:val="Revision"/>
    <w:hidden/>
    <w:uiPriority w:val="99"/>
    <w:semiHidden/>
    <w:rsid w:val="00DB57AC"/>
    <w:pPr>
      <w:spacing w:after="0" w:line="240" w:lineRule="auto"/>
    </w:pPr>
  </w:style>
  <w:style w:type="paragraph" w:styleId="aff0">
    <w:name w:val="endnote text"/>
    <w:basedOn w:val="a"/>
    <w:link w:val="aff1"/>
    <w:uiPriority w:val="99"/>
    <w:semiHidden/>
    <w:unhideWhenUsed/>
    <w:rsid w:val="008B4FF5"/>
    <w:pPr>
      <w:spacing w:after="0" w:line="240" w:lineRule="auto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uiPriority w:val="99"/>
    <w:semiHidden/>
    <w:rsid w:val="008B4FF5"/>
    <w:rPr>
      <w:sz w:val="20"/>
      <w:szCs w:val="20"/>
    </w:rPr>
  </w:style>
  <w:style w:type="character" w:styleId="aff2">
    <w:name w:val="endnote reference"/>
    <w:basedOn w:val="a0"/>
    <w:uiPriority w:val="99"/>
    <w:semiHidden/>
    <w:unhideWhenUsed/>
    <w:rsid w:val="008B4F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E503C-403F-4BF9-8904-73A65D44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Банк развития Республики Беларусь</Company>
  <LinksUpToDate>false</LinksUpToDate>
  <CharactersWithSpaces>10688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Кухтик Артем Андреевич</dc:creator>
  <cp:keywords/>
  <dc:description/>
  <cp:lastModifiedBy>Светлана Субботина</cp:lastModifiedBy>
  <cp:revision>7</cp:revision>
  <cp:lastPrinted>2024-07-04T08:47:00Z</cp:lastPrinted>
  <dcterms:created xsi:type="dcterms:W3CDTF">2024-07-04T07:04:00Z</dcterms:created>
  <dcterms:modified xsi:type="dcterms:W3CDTF">2024-07-04T12:59:00Z</dcterms:modified>
</cp:coreProperties>
</file>